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02148">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各区电教中心（馆）、教师发展中心，江北新区教育发展中心、直属学校：</w:t>
      </w:r>
    </w:p>
    <w:p w14:paraId="3F85B737">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为落实《教育部教育技术与资源发展中心（中央电化教育馆）关于开展2026年教师人工智能应用案例征集活动的通知》（教技资〔2026〕10号）文件精神，经研究，决定开展2026年南京市中小学人工智能教育案例征集活动，为国家级征集活动择优推荐优秀案例，活动具体事项通知如下。</w:t>
      </w:r>
    </w:p>
    <w:p w14:paraId="7E71C877">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Style w:val="5"/>
          <w:rFonts w:ascii="黑体" w:hAnsi="宋体" w:eastAsia="黑体" w:cs="黑体"/>
          <w:i w:val="0"/>
          <w:iCs w:val="0"/>
          <w:caps w:val="0"/>
          <w:color w:val="000000"/>
          <w:spacing w:val="0"/>
          <w:sz w:val="21"/>
          <w:szCs w:val="21"/>
          <w:shd w:val="clear" w:fill="FFFFFF"/>
        </w:rPr>
        <w:t>一、征集时间：</w:t>
      </w:r>
    </w:p>
    <w:p w14:paraId="4641B50F">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即日起至2026年5月22日。</w:t>
      </w:r>
    </w:p>
    <w:p w14:paraId="3D6DCAD0">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Style w:val="5"/>
          <w:rFonts w:hint="eastAsia" w:ascii="黑体" w:hAnsi="宋体" w:eastAsia="黑体" w:cs="黑体"/>
          <w:i w:val="0"/>
          <w:iCs w:val="0"/>
          <w:caps w:val="0"/>
          <w:color w:val="000000"/>
          <w:spacing w:val="0"/>
          <w:sz w:val="21"/>
          <w:szCs w:val="21"/>
          <w:shd w:val="clear" w:fill="FFFFFF"/>
        </w:rPr>
        <w:t>二、参与对象：</w:t>
      </w:r>
    </w:p>
    <w:p w14:paraId="06DAB2F0">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全市基础教育阶段学校（含幼儿园、小学、中学、特殊教育学校）及中等职业教育学校教师、各级各类教育工作者。</w:t>
      </w:r>
    </w:p>
    <w:p w14:paraId="3CA77389">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Style w:val="5"/>
          <w:rFonts w:hint="eastAsia" w:ascii="黑体" w:hAnsi="宋体" w:eastAsia="黑体" w:cs="黑体"/>
          <w:i w:val="0"/>
          <w:iCs w:val="0"/>
          <w:caps w:val="0"/>
          <w:color w:val="000000"/>
          <w:spacing w:val="0"/>
          <w:sz w:val="21"/>
          <w:szCs w:val="21"/>
          <w:shd w:val="clear" w:fill="FFFFFF"/>
        </w:rPr>
        <w:t>三、征集内容：</w:t>
      </w:r>
    </w:p>
    <w:p w14:paraId="78D35E8B">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本次活动共设4个类型案例，分别是：教AI、用AI、创AI、护AI（征集指南详见附件1）。</w:t>
      </w:r>
    </w:p>
    <w:p w14:paraId="58096C9A">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Style w:val="5"/>
          <w:rFonts w:hint="eastAsia" w:ascii="黑体" w:hAnsi="宋体" w:eastAsia="黑体" w:cs="黑体"/>
          <w:i w:val="0"/>
          <w:iCs w:val="0"/>
          <w:caps w:val="0"/>
          <w:color w:val="000000"/>
          <w:spacing w:val="0"/>
          <w:sz w:val="21"/>
          <w:szCs w:val="21"/>
          <w:shd w:val="clear" w:fill="FFFFFF"/>
        </w:rPr>
        <w:t>四、参与方式：</w:t>
      </w:r>
    </w:p>
    <w:p w14:paraId="4BA23ED8">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（一）参与要求：</w:t>
      </w:r>
    </w:p>
    <w:p w14:paraId="675A25EB">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各区电教中心（馆）要高度重视本次征集活动，认真组织区内学校及教师参与，做好区内选拔工作，确保案例质量。各区推荐的案例总数不超过40件（详见下表）。</w:t>
      </w:r>
    </w:p>
    <w:tbl>
      <w:tblPr>
        <w:tblW w:w="0" w:type="dxa"/>
        <w:tblInd w:w="0" w:type="dxa"/>
        <w:tblBorders>
          <w:top w:val="none" w:color="666666" w:sz="5" w:space="0"/>
          <w:left w:val="none" w:color="666666" w:sz="5" w:space="0"/>
          <w:bottom w:val="none" w:color="666666" w:sz="5" w:space="0"/>
          <w:right w:val="none" w:color="666666" w:sz="5"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568"/>
        <w:gridCol w:w="2975"/>
      </w:tblGrid>
      <w:tr w14:paraId="2AFBF440">
        <w:tblPrEx>
          <w:tblBorders>
            <w:top w:val="none" w:color="666666" w:sz="5" w:space="0"/>
            <w:left w:val="none" w:color="666666" w:sz="5" w:space="0"/>
            <w:bottom w:val="none" w:color="666666" w:sz="5" w:space="0"/>
            <w:right w:val="none" w:color="666666" w:sz="5" w:space="0"/>
            <w:insideH w:val="none" w:color="auto" w:sz="0" w:space="0"/>
            <w:insideV w:val="none" w:color="auto" w:sz="0" w:space="0"/>
          </w:tblBorders>
          <w:shd w:val="clear" w:color="auto" w:fill="FFFFFF"/>
          <w:tblCellMar>
            <w:top w:w="15" w:type="dxa"/>
            <w:left w:w="15" w:type="dxa"/>
            <w:bottom w:w="15" w:type="dxa"/>
            <w:right w:w="15" w:type="dxa"/>
          </w:tblCellMar>
        </w:tblPrEx>
        <w:tc>
          <w:tcPr>
            <w:tcW w:w="2568"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40649FB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案例类型</w:t>
            </w:r>
          </w:p>
        </w:tc>
        <w:tc>
          <w:tcPr>
            <w:tcW w:w="2975"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5939F460">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各区推荐限额数</w:t>
            </w:r>
          </w:p>
        </w:tc>
      </w:tr>
      <w:tr w14:paraId="024305EB">
        <w:tblPrEx>
          <w:tblBorders>
            <w:top w:val="none" w:color="666666" w:sz="5" w:space="0"/>
            <w:left w:val="none" w:color="666666" w:sz="5" w:space="0"/>
            <w:bottom w:val="none" w:color="666666" w:sz="5" w:space="0"/>
            <w:right w:val="none" w:color="666666" w:sz="5" w:space="0"/>
            <w:insideH w:val="none" w:color="auto" w:sz="0" w:space="0"/>
            <w:insideV w:val="none" w:color="auto" w:sz="0" w:space="0"/>
          </w:tblBorders>
          <w:shd w:val="clear" w:color="auto" w:fill="FFFFFF"/>
          <w:tblCellMar>
            <w:top w:w="15" w:type="dxa"/>
            <w:left w:w="15" w:type="dxa"/>
            <w:bottom w:w="15" w:type="dxa"/>
            <w:right w:w="15" w:type="dxa"/>
          </w:tblCellMar>
        </w:tblPrEx>
        <w:tc>
          <w:tcPr>
            <w:tcW w:w="2568"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769711F3">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教AI</w:t>
            </w:r>
          </w:p>
        </w:tc>
        <w:tc>
          <w:tcPr>
            <w:tcW w:w="2975"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27EF94C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w:t>
            </w:r>
          </w:p>
        </w:tc>
      </w:tr>
      <w:tr w14:paraId="5959ADD9">
        <w:tblPrEx>
          <w:tblBorders>
            <w:top w:val="none" w:color="666666" w:sz="5" w:space="0"/>
            <w:left w:val="none" w:color="666666" w:sz="5" w:space="0"/>
            <w:bottom w:val="none" w:color="666666" w:sz="5" w:space="0"/>
            <w:right w:val="none" w:color="666666" w:sz="5" w:space="0"/>
            <w:insideH w:val="none" w:color="auto" w:sz="0" w:space="0"/>
            <w:insideV w:val="none" w:color="auto" w:sz="0" w:space="0"/>
          </w:tblBorders>
          <w:tblCellMar>
            <w:top w:w="15" w:type="dxa"/>
            <w:left w:w="15" w:type="dxa"/>
            <w:bottom w:w="15" w:type="dxa"/>
            <w:right w:w="15" w:type="dxa"/>
          </w:tblCellMar>
        </w:tblPrEx>
        <w:tc>
          <w:tcPr>
            <w:tcW w:w="2568"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7C8F11D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用AI</w:t>
            </w:r>
          </w:p>
        </w:tc>
        <w:tc>
          <w:tcPr>
            <w:tcW w:w="2975"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0467390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15</w:t>
            </w:r>
          </w:p>
        </w:tc>
      </w:tr>
      <w:tr w14:paraId="6399D667">
        <w:tblPrEx>
          <w:tblBorders>
            <w:top w:val="none" w:color="666666" w:sz="5" w:space="0"/>
            <w:left w:val="none" w:color="666666" w:sz="5" w:space="0"/>
            <w:bottom w:val="none" w:color="666666" w:sz="5" w:space="0"/>
            <w:right w:val="none" w:color="666666" w:sz="5" w:space="0"/>
            <w:insideH w:val="none" w:color="auto" w:sz="0" w:space="0"/>
            <w:insideV w:val="none" w:color="auto" w:sz="0" w:space="0"/>
          </w:tblBorders>
          <w:tblCellMar>
            <w:top w:w="15" w:type="dxa"/>
            <w:left w:w="15" w:type="dxa"/>
            <w:bottom w:w="15" w:type="dxa"/>
            <w:right w:w="15" w:type="dxa"/>
          </w:tblCellMar>
        </w:tblPrEx>
        <w:tc>
          <w:tcPr>
            <w:tcW w:w="2568"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50E946E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创AI</w:t>
            </w:r>
          </w:p>
        </w:tc>
        <w:tc>
          <w:tcPr>
            <w:tcW w:w="2975"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4F09A320">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w:t>
            </w:r>
          </w:p>
        </w:tc>
      </w:tr>
      <w:tr w14:paraId="4ED43322">
        <w:tblPrEx>
          <w:tblBorders>
            <w:top w:val="none" w:color="666666" w:sz="5" w:space="0"/>
            <w:left w:val="none" w:color="666666" w:sz="5" w:space="0"/>
            <w:bottom w:val="none" w:color="666666" w:sz="5" w:space="0"/>
            <w:right w:val="none" w:color="666666" w:sz="5" w:space="0"/>
            <w:insideH w:val="none" w:color="auto" w:sz="0" w:space="0"/>
            <w:insideV w:val="none" w:color="auto" w:sz="0" w:space="0"/>
          </w:tblBorders>
          <w:tblCellMar>
            <w:top w:w="15" w:type="dxa"/>
            <w:left w:w="15" w:type="dxa"/>
            <w:bottom w:w="15" w:type="dxa"/>
            <w:right w:w="15" w:type="dxa"/>
          </w:tblCellMar>
        </w:tblPrEx>
        <w:tc>
          <w:tcPr>
            <w:tcW w:w="2568"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2E2C85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护AI</w:t>
            </w:r>
          </w:p>
        </w:tc>
        <w:tc>
          <w:tcPr>
            <w:tcW w:w="2975" w:type="dxa"/>
            <w:tcBorders>
              <w:top w:val="single" w:color="666666" w:sz="6" w:space="0"/>
              <w:left w:val="single" w:color="666666" w:sz="6" w:space="0"/>
              <w:bottom w:val="single" w:color="666666" w:sz="6" w:space="0"/>
              <w:right w:val="single" w:color="666666" w:sz="6" w:space="0"/>
            </w:tcBorders>
            <w:shd w:val="clear" w:color="auto" w:fill="FFFFFF"/>
            <w:tcMar>
              <w:top w:w="109" w:type="dxa"/>
              <w:left w:w="109" w:type="dxa"/>
              <w:bottom w:w="109" w:type="dxa"/>
              <w:right w:w="109" w:type="dxa"/>
            </w:tcMar>
            <w:vAlign w:val="center"/>
          </w:tcPr>
          <w:p w14:paraId="430ABC5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w:t>
            </w:r>
          </w:p>
        </w:tc>
      </w:tr>
    </w:tbl>
    <w:p w14:paraId="6DFC7EDB">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（二）提交材料：</w:t>
      </w:r>
    </w:p>
    <w:p w14:paraId="2911A0A0">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1.各类型案例所需提交的材料详见附件1。</w:t>
      </w:r>
    </w:p>
    <w:p w14:paraId="52C39BE1">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2.各区填写案例汇总表（见附件2）并盖章，以区为单位集中报送。请各区于2026年5月22日前，将汇总表Word版、加盖公章的PDF版，以及按案例类型分类的本区申报案例材料打包发送至南京市电化教育馆（南京市教育信息化中心）</w:t>
      </w:r>
      <w:r>
        <w:rPr>
          <w:rFonts w:hint="eastAsia" w:ascii="微软雅黑" w:hAnsi="微软雅黑" w:eastAsia="微软雅黑" w:cs="微软雅黑"/>
          <w:i w:val="0"/>
          <w:iCs w:val="0"/>
          <w:caps w:val="0"/>
          <w:color w:val="000000"/>
          <w:spacing w:val="0"/>
          <w:sz w:val="21"/>
          <w:szCs w:val="21"/>
          <w:shd w:val="clear" w:fill="FFFFFF"/>
        </w:rPr>
        <w:t>（以下简称市电教馆）</w:t>
      </w:r>
      <w:r>
        <w:rPr>
          <w:rFonts w:hint="eastAsia" w:ascii="微软雅黑" w:hAnsi="微软雅黑" w:eastAsia="微软雅黑" w:cs="微软雅黑"/>
          <w:i w:val="0"/>
          <w:iCs w:val="0"/>
          <w:caps w:val="0"/>
          <w:color w:val="212121"/>
          <w:spacing w:val="0"/>
          <w:sz w:val="21"/>
          <w:szCs w:val="21"/>
          <w:shd w:val="clear" w:fill="FFFFFF"/>
        </w:rPr>
        <w:t>。直属学校按校报送，每校不超过5件，直接报送至市电教馆。</w:t>
      </w:r>
    </w:p>
    <w:p w14:paraId="35798A43">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Style w:val="5"/>
          <w:rFonts w:hint="eastAsia" w:ascii="黑体" w:hAnsi="宋体" w:eastAsia="黑体" w:cs="黑体"/>
          <w:i w:val="0"/>
          <w:iCs w:val="0"/>
          <w:caps w:val="0"/>
          <w:color w:val="000000"/>
          <w:spacing w:val="0"/>
          <w:sz w:val="21"/>
          <w:szCs w:val="21"/>
          <w:shd w:val="clear" w:fill="FFFFFF"/>
        </w:rPr>
        <w:t>五、评审及推广</w:t>
      </w:r>
    </w:p>
    <w:p w14:paraId="6A188A61">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1.市电教馆</w:t>
      </w:r>
      <w:r>
        <w:rPr>
          <w:rFonts w:hint="eastAsia" w:ascii="微软雅黑" w:hAnsi="微软雅黑" w:eastAsia="微软雅黑" w:cs="微软雅黑"/>
          <w:i w:val="0"/>
          <w:iCs w:val="0"/>
          <w:caps w:val="0"/>
          <w:color w:val="212121"/>
          <w:spacing w:val="0"/>
          <w:sz w:val="21"/>
          <w:szCs w:val="21"/>
          <w:shd w:val="clear" w:fill="FFFFFF"/>
        </w:rPr>
        <w:t>将组织专家依据中央电化教育馆文件的要求和评价标准进行评审，择优推荐参加省级遴选，并将优秀案例汇编《2026年南京市中小学人工智能教育优秀案例集》，举办案例分享活动，供全市中小学在人工智能教育实践中学习借鉴。</w:t>
      </w:r>
    </w:p>
    <w:p w14:paraId="2C27F670">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2.案例涉及的知识产权问题由作者自行承担，</w:t>
      </w:r>
      <w:r>
        <w:rPr>
          <w:rFonts w:hint="eastAsia" w:ascii="微软雅黑" w:hAnsi="微软雅黑" w:eastAsia="微软雅黑" w:cs="微软雅黑"/>
          <w:i w:val="0"/>
          <w:iCs w:val="0"/>
          <w:caps w:val="0"/>
          <w:color w:val="000000"/>
          <w:spacing w:val="0"/>
          <w:sz w:val="21"/>
          <w:szCs w:val="21"/>
          <w:shd w:val="clear" w:fill="FFFFFF"/>
        </w:rPr>
        <w:t>市电教馆</w:t>
      </w:r>
      <w:r>
        <w:rPr>
          <w:rFonts w:hint="eastAsia" w:ascii="微软雅黑" w:hAnsi="微软雅黑" w:eastAsia="微软雅黑" w:cs="微软雅黑"/>
          <w:i w:val="0"/>
          <w:iCs w:val="0"/>
          <w:caps w:val="0"/>
          <w:color w:val="212121"/>
          <w:spacing w:val="0"/>
          <w:sz w:val="21"/>
          <w:szCs w:val="21"/>
          <w:shd w:val="clear" w:fill="FFFFFF"/>
        </w:rPr>
        <w:t>拥有获奖案例的使用权，可用于教育教学研究、推广等非商业性活动。</w:t>
      </w:r>
    </w:p>
    <w:p w14:paraId="2A497E33">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未尽事宜，请与市电化教育馆施老师联系，联系电话：84763527。</w:t>
      </w:r>
    </w:p>
    <w:p w14:paraId="796342AE">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附件</w:t>
      </w:r>
      <w:bookmarkStart w:id="0" w:name="_GoBack"/>
      <w:bookmarkEnd w:id="0"/>
      <w:r>
        <w:rPr>
          <w:rFonts w:hint="eastAsia" w:ascii="微软雅黑" w:hAnsi="微软雅黑" w:eastAsia="微软雅黑" w:cs="微软雅黑"/>
          <w:i w:val="0"/>
          <w:iCs w:val="0"/>
          <w:caps w:val="0"/>
          <w:color w:val="000000"/>
          <w:spacing w:val="0"/>
          <w:sz w:val="21"/>
          <w:szCs w:val="21"/>
          <w:shd w:val="clear" w:fill="FFFFFF"/>
        </w:rPr>
        <w:t>：</w:t>
      </w:r>
    </w:p>
    <w:p w14:paraId="4EFECF03">
      <w:pPr>
        <w:pStyle w:val="2"/>
        <w:keepNext w:val="0"/>
        <w:keepLines w:val="0"/>
        <w:widowControl/>
        <w:suppressLineNumbers w:val="0"/>
        <w:shd w:val="clear" w:fill="FFFFFF"/>
        <w:spacing w:line="420" w:lineRule="atLeast"/>
        <w:ind w:lef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1.关于转</w:t>
      </w:r>
      <w:r>
        <w:rPr>
          <w:rFonts w:hint="eastAsia" w:ascii="微软雅黑" w:hAnsi="微软雅黑" w:eastAsia="微软雅黑" w:cs="微软雅黑"/>
          <w:i w:val="0"/>
          <w:iCs w:val="0"/>
          <w:caps w:val="0"/>
          <w:color w:val="000000"/>
          <w:spacing w:val="0"/>
          <w:sz w:val="21"/>
          <w:szCs w:val="21"/>
          <w:shd w:val="clear" w:fill="FFFFFF"/>
        </w:rPr>
        <w:t>发教育部教育技术与资源发展中心（中央电化教育馆）开展2026年教师人工智能应用案例征集活动的通知</w:t>
      </w:r>
    </w:p>
    <w:p w14:paraId="2A56DA21">
      <w:pPr>
        <w:pStyle w:val="2"/>
        <w:keepNext w:val="0"/>
        <w:keepLines w:val="0"/>
        <w:widowControl/>
        <w:suppressLineNumbers w:val="0"/>
        <w:shd w:val="clear" w:fill="FFFFFF"/>
        <w:spacing w:line="420" w:lineRule="atLeast"/>
        <w:ind w:lef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212121"/>
          <w:spacing w:val="0"/>
          <w:sz w:val="21"/>
          <w:szCs w:val="21"/>
          <w:shd w:val="clear" w:fill="FFFFFF"/>
        </w:rPr>
        <w:t>2.案例汇总表</w:t>
      </w:r>
    </w:p>
    <w:p w14:paraId="6293D867">
      <w:pPr>
        <w:pStyle w:val="2"/>
        <w:keepNext w:val="0"/>
        <w:keepLines w:val="0"/>
        <w:widowControl/>
        <w:suppressLineNumbers w:val="0"/>
        <w:shd w:val="clear" w:fill="FFFFFF"/>
        <w:spacing w:line="420" w:lineRule="atLeast"/>
        <w:ind w:left="0" w:firstLine="420"/>
        <w:jc w:val="righ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南京市电化教育馆（南京市教育信息化中心）</w:t>
      </w:r>
    </w:p>
    <w:p w14:paraId="335DA900">
      <w:pPr>
        <w:pStyle w:val="2"/>
        <w:keepNext w:val="0"/>
        <w:keepLines w:val="0"/>
        <w:widowControl/>
        <w:suppressLineNumbers w:val="0"/>
        <w:shd w:val="clear" w:fill="FFFFFF"/>
        <w:spacing w:line="420" w:lineRule="atLeast"/>
        <w:ind w:left="0" w:firstLine="420"/>
        <w:jc w:val="righ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FFFFF"/>
        </w:rPr>
        <w:t>2026年4月20日</w:t>
      </w:r>
    </w:p>
    <w:p w14:paraId="6E026E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B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2026-04-22T01:11:36Z</dcterms:created>
  <dc:creator>HP</dc:creator>
  <cp:lastModifiedBy>韦广</cp:lastModifiedBy>
  <dcterms:modified xsi:type="dcterms:W3CDTF">2026-04-22T01:11:56Z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eyJoZGlkIjoiNDJhN2UxNDM5ODQ2MzliMjdhYWIxOTZkNzE0OGY5ZDIiLCJ1c2VySWQiOiIyNzA1NDQyNDAifQ==</vt:lpwstr>
  </property>
  <property fmtid="{D5CDD505-2E9C-101B-9397-08002B2CF9AE}" pid="4" name="ICV">
    <vt:lpwstr>6F39791E312B4840ADAFEE22FA856626_12</vt:lpwstr>
  </property>
</Properties>
</file>